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03" w:rsidRDefault="004C4BDF">
      <w:pPr>
        <w:spacing w:after="0" w:line="259" w:lineRule="auto"/>
        <w:ind w:left="91" w:firstLine="0"/>
        <w:jc w:val="left"/>
      </w:pPr>
      <w:bookmarkStart w:id="0" w:name="_GoBack"/>
      <w:bookmarkEnd w:id="0"/>
      <w:r>
        <w:t xml:space="preserve"> </w:t>
      </w:r>
    </w:p>
    <w:p w:rsidR="00176C03" w:rsidRDefault="004C4BDF">
      <w:pPr>
        <w:spacing w:after="0" w:line="240" w:lineRule="auto"/>
        <w:ind w:left="91" w:firstLine="0"/>
        <w:jc w:val="left"/>
      </w:pPr>
      <w:r>
        <w:rPr>
          <w:b/>
        </w:rPr>
        <w:t>Avis public adressé à l'ensemble des personnes habiles à voter de la municipalité</w:t>
      </w:r>
      <w:r>
        <w:t xml:space="preserve">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ind w:left="76" w:firstLine="0"/>
      </w:pPr>
      <w:r>
        <w:t xml:space="preserve">AVIS PUBLIC EST DONNÉ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spacing w:after="30"/>
        <w:ind w:left="76" w:firstLine="0"/>
      </w:pPr>
      <w:r>
        <w:t xml:space="preserve">AUX PERSONNES HABILES À VOTER AYANT LE DROIT D’ÊTRE INSCRITES </w:t>
      </w:r>
    </w:p>
    <w:p w:rsidR="00176C03" w:rsidRDefault="004C4BDF">
      <w:pPr>
        <w:ind w:left="76" w:firstLine="0"/>
      </w:pPr>
      <w:r>
        <w:t xml:space="preserve">SUR LA LISTE RÉFÉRENDAIRE DE L’ENSEMBLE DE LA MUNICIPALITÉ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>Lors d’une séance extraordinaire du conseil tenue le 21 mars 2024, le conseil municipal de Saint-Honoré-de-Shenley a adopté le règlement numéro 237-2024 intitulé : Règlement numéro 237-2024 décrétant des dépenses en immobilisations et un emprunt de 1 192 1</w:t>
      </w:r>
      <w:r>
        <w:t>53$ pour la réfection du bâtiment sis au 476 rue principale.</w:t>
      </w:r>
    </w:p>
    <w:p w:rsidR="00176C03" w:rsidRDefault="004C4BDF">
      <w:pPr>
        <w:spacing w:after="19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 xml:space="preserve">Les personnes habiles à voter ayant le droit d’être inscrites sur la liste référendaire de la municipalité peuvent demander que le règlement numéro </w:t>
      </w:r>
    </w:p>
    <w:p w:rsidR="00176C03" w:rsidRDefault="004C4BDF">
      <w:pPr>
        <w:ind w:left="811" w:firstLine="0"/>
      </w:pPr>
      <w:r>
        <w:t>237-2024 fasse l’objet d’un scrutin référend</w:t>
      </w:r>
      <w:r>
        <w:t xml:space="preserve">aire en inscrivant leurs nom, adresse et qualité et en apposant leur signature dans un registre ouvert à cette fin. 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ind w:left="811" w:firstLine="0"/>
      </w:pPr>
      <w:r>
        <w:t>Les personnes habiles à voter voulant enregistrer leur nom doivent présenter une carte d’identité : carte d’assurance-maladie, permis de</w:t>
      </w:r>
      <w:r>
        <w:t xml:space="preserve"> conduire</w:t>
      </w:r>
      <w:r>
        <w:rPr>
          <w:b/>
        </w:rPr>
        <w:t>,</w:t>
      </w:r>
      <w:r>
        <w:t xml:space="preserve"> passeport</w:t>
      </w:r>
      <w:r>
        <w:rPr>
          <w:b/>
        </w:rPr>
        <w:t>,</w:t>
      </w:r>
      <w:r>
        <w:t xml:space="preserve"> certificat de statut d’Indien ou carte d’identité des Forces canadiennes.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 xml:space="preserve">Le registre sera accessible de 9 heures à 19 heures le 27 mars 2024 au bureau de la municipalité Saint-Honoré-de-Shenley, situé au 499 rue principale. 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>Le</w:t>
      </w:r>
      <w:r>
        <w:t xml:space="preserve"> nombre de demandes requis pour que le règlement numéro 237-2024 fasse l’objet d’un scrutin référendaire est de 129. Si ce nombre n’est pas atteint, le règlement numéro 237-2024 sera réputé approuvé par les personnes habiles à voter.</w:t>
      </w:r>
    </w:p>
    <w:p w:rsidR="00176C03" w:rsidRDefault="004C4BDF">
      <w:pPr>
        <w:spacing w:after="11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 xml:space="preserve">Le résultat de la procédure d’enregistrement sera annoncé à 19h05 heures le 27 mars 2024, au bureau municipal situé au 499 rue principale. </w:t>
      </w:r>
    </w:p>
    <w:p w:rsidR="00176C03" w:rsidRDefault="004C4BDF">
      <w:pPr>
        <w:numPr>
          <w:ilvl w:val="0"/>
          <w:numId w:val="1"/>
        </w:numPr>
        <w:spacing w:after="27"/>
        <w:ind w:hanging="811"/>
      </w:pPr>
      <w:r>
        <w:t xml:space="preserve">Le règlement peut être consulté au bureau de la municipalité aux heures habituelles d’ouverture du bureau.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ind w:left="76" w:firstLine="0"/>
      </w:pPr>
      <w:r>
        <w:t>Condit</w:t>
      </w:r>
      <w:r>
        <w:t xml:space="preserve">ions pour être une personne habile à voter ayant le droit d'être inscrite sur la liste référendaire de l'ensemble de la municipalité : </w:t>
      </w:r>
    </w:p>
    <w:p w:rsidR="00176C03" w:rsidRDefault="004C4BDF">
      <w:pPr>
        <w:spacing w:after="0" w:line="259" w:lineRule="auto"/>
        <w:ind w:left="91" w:firstLine="0"/>
        <w:jc w:val="left"/>
      </w:pPr>
      <w:r>
        <w:lastRenderedPageBreak/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>Toute personne qui, le 27 mars 2024, n’est frappée d’aucune incapacité de voter prévue à l’article 524 de la Loi sur l</w:t>
      </w:r>
      <w:r>
        <w:t xml:space="preserve">es élections et les référendums dans les municipalités et remplit les conditions suivantes :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3"/>
        </w:numPr>
        <w:ind w:hanging="809"/>
      </w:pPr>
      <w:r>
        <w:t xml:space="preserve">être une personne physique domiciliée dans la municipalité et être domiciliée depuis au moins 6 mois au Québec et; 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3"/>
        </w:numPr>
        <w:ind w:hanging="809"/>
      </w:pPr>
      <w:r>
        <w:t>être majeure et de citoyenneté canadienne</w:t>
      </w:r>
      <w:r>
        <w:t xml:space="preserve"> et ne pas être en curatelle. </w:t>
      </w:r>
    </w:p>
    <w:p w:rsidR="00176C03" w:rsidRDefault="004C4BDF">
      <w:pPr>
        <w:spacing w:after="19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 xml:space="preserve">Tout propriétaire unique d’un immeuble ou occupant unique d’un établissement d’entreprise qui n’est frappé d’aucune incapacité de voter et remplit les conditions suivantes : </w:t>
      </w:r>
    </w:p>
    <w:p w:rsidR="00176C03" w:rsidRDefault="004C4BDF">
      <w:pPr>
        <w:spacing w:after="2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2"/>
        </w:numPr>
        <w:spacing w:after="0" w:line="244" w:lineRule="auto"/>
        <w:ind w:hanging="809"/>
        <w:jc w:val="left"/>
      </w:pPr>
      <w:r>
        <w:t xml:space="preserve">être propriétaire d’un immeuble ou occupant unique d’un établissement d’entreprise situé dans la municipalité depuis au moins 12 mois;  </w:t>
      </w:r>
    </w:p>
    <w:p w:rsidR="00176C03" w:rsidRDefault="004C4BDF">
      <w:pPr>
        <w:spacing w:after="2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2"/>
        </w:numPr>
        <w:ind w:hanging="809"/>
        <w:jc w:val="left"/>
      </w:pPr>
      <w:r>
        <w:t xml:space="preserve">dans le cas d’une personne physique, être majeure et de citoyenneté canadienne et ne pas être en curatelle. </w:t>
      </w:r>
    </w:p>
    <w:p w:rsidR="00176C03" w:rsidRDefault="004C4BDF">
      <w:pPr>
        <w:spacing w:after="16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>Tout c</w:t>
      </w:r>
      <w:r>
        <w:t xml:space="preserve">opropriétaire indivis d’un immeuble ou cooccupant d’un établissement d’entreprise qui n’est frappé d’aucune incapacité de voter et remplit les conditions suivantes : </w:t>
      </w:r>
    </w:p>
    <w:p w:rsidR="00176C03" w:rsidRDefault="004C4BDF">
      <w:pPr>
        <w:spacing w:after="2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4"/>
        </w:numPr>
      </w:pPr>
      <w:r>
        <w:t>être copropriétaire indivis d’un immeuble ou cooccupant d’un établissement d’entreprise</w:t>
      </w:r>
      <w:r>
        <w:t xml:space="preserve"> situé dans la municipalité, depuis au moins 12 mois; </w:t>
      </w:r>
    </w:p>
    <w:p w:rsidR="00176C03" w:rsidRDefault="004C4BDF">
      <w:pPr>
        <w:spacing w:after="2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2"/>
          <w:numId w:val="4"/>
        </w:numPr>
      </w:pPr>
      <w:r>
        <w:t>être désigné, au moyen d’une procuration signée par la majorité des personnes qui sont copropriétaires ou occupants depuis au moins 12 mois, comme celui qui a le droit de signer le registre en leur n</w:t>
      </w:r>
      <w:r>
        <w:t xml:space="preserve">om et d’être inscrit sur la liste référendaire, le cas échéant. Cette procuration doit avoir été produite avant ou lors de la signature du registre.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numPr>
          <w:ilvl w:val="0"/>
          <w:numId w:val="1"/>
        </w:numPr>
        <w:ind w:hanging="811"/>
      </w:pPr>
      <w:r>
        <w:t xml:space="preserve">Personne morale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ind w:left="1527"/>
      </w:pPr>
      <w:r>
        <w:rPr>
          <w:rFonts w:ascii="Wingdings" w:eastAsia="Wingdings" w:hAnsi="Wingdings" w:cs="Wingdings"/>
        </w:rPr>
        <w:t></w:t>
      </w:r>
      <w:r>
        <w:t xml:space="preserve"> </w:t>
      </w:r>
      <w:r>
        <w:t xml:space="preserve">avoir désigné par résolution, parmi ses membres, administrateurs ou employés, une personne qui, le 21 mars 2024 et au moment d’exercer ce droit, est majeure et de citoyenneté canadienne, qui </w:t>
      </w:r>
      <w:r>
        <w:lastRenderedPageBreak/>
        <w:t>n’est pas en curatelle et n’est frappée d’aucune incapacité de vo</w:t>
      </w:r>
      <w:r>
        <w:t xml:space="preserve">ter prévue par la loi.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spacing w:after="0" w:line="259" w:lineRule="auto"/>
        <w:ind w:left="91" w:firstLine="0"/>
        <w:jc w:val="left"/>
      </w:pPr>
      <w:r>
        <w:t xml:space="preserve"> </w:t>
      </w:r>
    </w:p>
    <w:p w:rsidR="00176C03" w:rsidRDefault="004C4BDF">
      <w:pPr>
        <w:ind w:left="76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57607</wp:posOffset>
            </wp:positionH>
            <wp:positionV relativeFrom="paragraph">
              <wp:posOffset>-200913</wp:posOffset>
            </wp:positionV>
            <wp:extent cx="2045970" cy="471805"/>
            <wp:effectExtent l="0" t="0" r="0" b="0"/>
            <wp:wrapNone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 </w:t>
      </w:r>
    </w:p>
    <w:p w:rsidR="00176C03" w:rsidRDefault="004C4BDF">
      <w:pPr>
        <w:spacing w:after="0" w:line="259" w:lineRule="auto"/>
        <w:ind w:left="91" w:firstLine="0"/>
        <w:jc w:val="left"/>
      </w:pPr>
      <w:r>
        <w:rPr>
          <w:i/>
        </w:rPr>
        <w:t>Secrétaire-trésorier</w:t>
      </w:r>
      <w:r>
        <w:t xml:space="preserve"> </w:t>
      </w:r>
    </w:p>
    <w:sectPr w:rsidR="00176C03">
      <w:pgSz w:w="12240" w:h="15840"/>
      <w:pgMar w:top="1449" w:right="1794" w:bottom="1702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F63"/>
    <w:multiLevelType w:val="hybridMultilevel"/>
    <w:tmpl w:val="310A9FA4"/>
    <w:lvl w:ilvl="0" w:tplc="BF68A4F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5BE2">
      <w:start w:val="1"/>
      <w:numFmt w:val="bullet"/>
      <w:lvlText w:val="o"/>
      <w:lvlJc w:val="left"/>
      <w:pPr>
        <w:ind w:left="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CFCB2">
      <w:start w:val="1"/>
      <w:numFmt w:val="bullet"/>
      <w:lvlRestart w:val="0"/>
      <w:lvlText w:val="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408E4">
      <w:start w:val="1"/>
      <w:numFmt w:val="bullet"/>
      <w:lvlText w:val="•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A7A80">
      <w:start w:val="1"/>
      <w:numFmt w:val="bullet"/>
      <w:lvlText w:val="o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5A42">
      <w:start w:val="1"/>
      <w:numFmt w:val="bullet"/>
      <w:lvlText w:val="▪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225D2">
      <w:start w:val="1"/>
      <w:numFmt w:val="bullet"/>
      <w:lvlText w:val="•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BD02">
      <w:start w:val="1"/>
      <w:numFmt w:val="bullet"/>
      <w:lvlText w:val="o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2F9C">
      <w:start w:val="1"/>
      <w:numFmt w:val="bullet"/>
      <w:lvlText w:val="▪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6363F"/>
    <w:multiLevelType w:val="hybridMultilevel"/>
    <w:tmpl w:val="B820454A"/>
    <w:lvl w:ilvl="0" w:tplc="9EE67EFA">
      <w:start w:val="1"/>
      <w:numFmt w:val="decimal"/>
      <w:lvlText w:val="%1.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0DCD2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6C034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4198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051A0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869A8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40A70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C3060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82A78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A724D"/>
    <w:multiLevelType w:val="hybridMultilevel"/>
    <w:tmpl w:val="87542CB0"/>
    <w:lvl w:ilvl="0" w:tplc="C6B46F3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EEDCA">
      <w:start w:val="1"/>
      <w:numFmt w:val="bullet"/>
      <w:lvlText w:val="o"/>
      <w:lvlJc w:val="left"/>
      <w:pPr>
        <w:ind w:left="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ADD3A">
      <w:start w:val="1"/>
      <w:numFmt w:val="bullet"/>
      <w:lvlRestart w:val="0"/>
      <w:lvlText w:val="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A52B4">
      <w:start w:val="1"/>
      <w:numFmt w:val="bullet"/>
      <w:lvlText w:val="•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63EA0">
      <w:start w:val="1"/>
      <w:numFmt w:val="bullet"/>
      <w:lvlText w:val="o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AB8">
      <w:start w:val="1"/>
      <w:numFmt w:val="bullet"/>
      <w:lvlText w:val="▪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80778">
      <w:start w:val="1"/>
      <w:numFmt w:val="bullet"/>
      <w:lvlText w:val="•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0AFA6">
      <w:start w:val="1"/>
      <w:numFmt w:val="bullet"/>
      <w:lvlText w:val="o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6C020">
      <w:start w:val="1"/>
      <w:numFmt w:val="bullet"/>
      <w:lvlText w:val="▪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ED3D7A"/>
    <w:multiLevelType w:val="hybridMultilevel"/>
    <w:tmpl w:val="4A42307A"/>
    <w:lvl w:ilvl="0" w:tplc="40F210C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00AB4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C41C">
      <w:start w:val="1"/>
      <w:numFmt w:val="bullet"/>
      <w:lvlRestart w:val="0"/>
      <w:lvlText w:val=""/>
      <w:lvlJc w:val="left"/>
      <w:pPr>
        <w:ind w:left="1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22748">
      <w:start w:val="1"/>
      <w:numFmt w:val="bullet"/>
      <w:lvlText w:val="•"/>
      <w:lvlJc w:val="left"/>
      <w:pPr>
        <w:ind w:left="1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D8A0">
      <w:start w:val="1"/>
      <w:numFmt w:val="bullet"/>
      <w:lvlText w:val="o"/>
      <w:lvlJc w:val="left"/>
      <w:pPr>
        <w:ind w:left="2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CF9A6">
      <w:start w:val="1"/>
      <w:numFmt w:val="bullet"/>
      <w:lvlText w:val="▪"/>
      <w:lvlJc w:val="left"/>
      <w:pPr>
        <w:ind w:left="3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C7B6">
      <w:start w:val="1"/>
      <w:numFmt w:val="bullet"/>
      <w:lvlText w:val="•"/>
      <w:lvlJc w:val="left"/>
      <w:pPr>
        <w:ind w:left="3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B1FE">
      <w:start w:val="1"/>
      <w:numFmt w:val="bullet"/>
      <w:lvlText w:val="o"/>
      <w:lvlJc w:val="left"/>
      <w:pPr>
        <w:ind w:left="4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C4F42">
      <w:start w:val="1"/>
      <w:numFmt w:val="bullet"/>
      <w:lvlText w:val="▪"/>
      <w:lvlJc w:val="left"/>
      <w:pPr>
        <w:ind w:left="5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03"/>
    <w:rsid w:val="00176C03"/>
    <w:rsid w:val="004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839E-83AE-4C33-8CE5-7722BD8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807" w:hanging="716"/>
      <w:jc w:val="both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public adressé à l'ensemble des personnes habiles à voter de la municipalité - modèle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public adressé à l'ensemble des personnes habiles à voter de la municipalité - modèle</dc:title>
  <dc:subject>Règlement d'emprunt - modèle</dc:subject>
  <dc:creator>Ministères des Affaires municipales et des Régions-MAMR</dc:creator>
  <cp:keywords/>
  <cp:lastModifiedBy>Nathalie Lapointe</cp:lastModifiedBy>
  <cp:revision>2</cp:revision>
  <dcterms:created xsi:type="dcterms:W3CDTF">2024-09-23T18:54:00Z</dcterms:created>
  <dcterms:modified xsi:type="dcterms:W3CDTF">2024-09-23T18:54:00Z</dcterms:modified>
</cp:coreProperties>
</file>